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6E729" w14:textId="77777777" w:rsidR="0018778E" w:rsidRDefault="00000000">
      <w:pPr>
        <w:spacing w:after="60"/>
      </w:pPr>
      <w:r>
        <w:rPr>
          <w:rFonts w:ascii="Calibri" w:eastAsia="Calibri" w:hAnsi="Calibri" w:cs="Calibri"/>
          <w:b/>
          <w:bCs/>
          <w:color w:val="666666"/>
          <w:sz w:val="18"/>
          <w:szCs w:val="18"/>
        </w:rPr>
        <w:t>INVESTOR SERVICES</w:t>
      </w:r>
    </w:p>
    <w:p w14:paraId="7E9EBCA0" w14:textId="77777777" w:rsidR="0018778E" w:rsidRDefault="00000000">
      <w:pPr>
        <w:spacing w:after="80"/>
      </w:pPr>
      <w:r>
        <w:rPr>
          <w:rFonts w:ascii="Calibri" w:eastAsia="Calibri" w:hAnsi="Calibri" w:cs="Calibri"/>
          <w:b/>
          <w:bCs/>
          <w:color w:val="0C2340"/>
          <w:sz w:val="40"/>
          <w:szCs w:val="40"/>
        </w:rPr>
        <w:t>Grievance Redressal &amp; Dispute Resolution</w:t>
      </w:r>
    </w:p>
    <w:p w14:paraId="2AB730D3" w14:textId="77777777" w:rsidR="0018778E" w:rsidRDefault="0018778E">
      <w:pPr>
        <w:pBdr>
          <w:bottom w:val="single" w:sz="8" w:space="1" w:color="C8A84B"/>
        </w:pBdr>
        <w:spacing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
        <w:gridCol w:w="9160"/>
      </w:tblGrid>
      <w:tr w:rsidR="0018778E" w14:paraId="0F61510D" w14:textId="77777777">
        <w:tc>
          <w:tcPr>
            <w:tcW w:w="200" w:type="dxa"/>
            <w:tcBorders>
              <w:top w:val="none" w:sz="0" w:space="0" w:color="FFFFFF"/>
              <w:left w:val="single" w:sz="12" w:space="0" w:color="185FA5"/>
              <w:bottom w:val="none" w:sz="0" w:space="0" w:color="FFFFFF"/>
              <w:right w:val="none" w:sz="0" w:space="0" w:color="FFFFFF"/>
            </w:tcBorders>
            <w:shd w:val="clear" w:color="auto" w:fill="E8F0F8"/>
          </w:tcPr>
          <w:p w14:paraId="50D8DB4E" w14:textId="77777777" w:rsidR="0018778E" w:rsidRDefault="0018778E"/>
        </w:tc>
        <w:tc>
          <w:tcPr>
            <w:tcW w:w="9160" w:type="dxa"/>
            <w:tcBorders>
              <w:top w:val="none" w:sz="0" w:space="0" w:color="FFFFFF"/>
              <w:left w:val="none" w:sz="0" w:space="0" w:color="FFFFFF"/>
              <w:bottom w:val="none" w:sz="0" w:space="0" w:color="FFFFFF"/>
              <w:right w:val="none" w:sz="0" w:space="0" w:color="FFFFFF"/>
            </w:tcBorders>
            <w:shd w:val="clear" w:color="auto" w:fill="E8F0F8"/>
            <w:tcMar>
              <w:top w:w="120" w:type="dxa"/>
              <w:left w:w="160" w:type="dxa"/>
              <w:bottom w:w="120" w:type="dxa"/>
              <w:right w:w="160" w:type="dxa"/>
            </w:tcMar>
          </w:tcPr>
          <w:p w14:paraId="2A621235" w14:textId="77777777" w:rsidR="0018778E" w:rsidRDefault="00000000">
            <w:r>
              <w:rPr>
                <w:rFonts w:ascii="Calibri" w:eastAsia="Calibri" w:hAnsi="Calibri" w:cs="Calibri"/>
                <w:color w:val="1A3A5C"/>
              </w:rPr>
              <w:t xml:space="preserve">It is mandatory for investors with a grievance to first approach Guardian Capital Investment Advisors </w:t>
            </w:r>
            <w:proofErr w:type="spellStart"/>
            <w:r>
              <w:rPr>
                <w:rFonts w:ascii="Calibri" w:eastAsia="Calibri" w:hAnsi="Calibri" w:cs="Calibri"/>
                <w:color w:val="1A3A5C"/>
              </w:rPr>
              <w:t>Pvt.</w:t>
            </w:r>
            <w:proofErr w:type="spellEnd"/>
            <w:r>
              <w:rPr>
                <w:rFonts w:ascii="Calibri" w:eastAsia="Calibri" w:hAnsi="Calibri" w:cs="Calibri"/>
                <w:color w:val="1A3A5C"/>
              </w:rPr>
              <w:t xml:space="preserve"> Ltd. directly. Please follow the escalation pathway below. Guardian is committed to addressing all investor complaints within the timelines prescribed by SEBI.</w:t>
            </w:r>
          </w:p>
        </w:tc>
      </w:tr>
    </w:tbl>
    <w:p w14:paraId="236F1260" w14:textId="77777777" w:rsidR="0018778E" w:rsidRDefault="00000000">
      <w:pPr>
        <w:spacing w:before="320" w:after="120"/>
      </w:pPr>
      <w:r>
        <w:rPr>
          <w:rFonts w:ascii="Calibri" w:eastAsia="Calibri" w:hAnsi="Calibri" w:cs="Calibri"/>
          <w:b/>
          <w:bCs/>
          <w:color w:val="666666"/>
          <w:sz w:val="17"/>
          <w:szCs w:val="17"/>
        </w:rPr>
        <w:t>STEP-BY-STEP ESCALATION PATHWAY</w:t>
      </w:r>
    </w:p>
    <w:tbl>
      <w:tblPr>
        <w:tblW w:w="9360" w:type="dxa"/>
        <w:tblBorders>
          <w:top w:val="single" w:sz="1" w:space="0" w:color="DDDDDD"/>
          <w:left w:val="single" w:sz="1" w:space="0" w:color="DDDDDD"/>
          <w:bottom w:val="single" w:sz="1" w:space="0" w:color="DDDDDD"/>
          <w:right w:val="single" w:sz="1" w:space="0" w:color="DDDDDD"/>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760"/>
      </w:tblGrid>
      <w:tr w:rsidR="0018778E" w14:paraId="3DB33F47" w14:textId="77777777">
        <w:tc>
          <w:tcPr>
            <w:tcW w:w="600" w:type="dxa"/>
            <w:tcBorders>
              <w:top w:val="none" w:sz="0" w:space="0" w:color="FFFFFF"/>
              <w:left w:val="none" w:sz="0" w:space="0" w:color="FFFFFF"/>
              <w:bottom w:val="none" w:sz="0" w:space="0" w:color="FFFFFF"/>
              <w:right w:val="none" w:sz="0" w:space="0" w:color="FFFFFF"/>
            </w:tcBorders>
            <w:shd w:val="clear" w:color="auto" w:fill="E8F0F8"/>
            <w:tcMar>
              <w:top w:w="120" w:type="dxa"/>
              <w:left w:w="120" w:type="dxa"/>
              <w:bottom w:w="120" w:type="dxa"/>
              <w:right w:w="120" w:type="dxa"/>
            </w:tcMar>
            <w:vAlign w:val="center"/>
          </w:tcPr>
          <w:p w14:paraId="7720BE9E" w14:textId="77777777" w:rsidR="0018778E" w:rsidRDefault="00000000">
            <w:pPr>
              <w:jc w:val="center"/>
            </w:pPr>
            <w:r>
              <w:rPr>
                <w:rFonts w:ascii="Calibri" w:eastAsia="Calibri" w:hAnsi="Calibri" w:cs="Calibri"/>
                <w:b/>
                <w:bCs/>
                <w:color w:val="185FA5"/>
                <w:sz w:val="24"/>
                <w:szCs w:val="24"/>
              </w:rPr>
              <w:t>1</w:t>
            </w:r>
          </w:p>
        </w:tc>
        <w:tc>
          <w:tcPr>
            <w:tcW w:w="8760" w:type="dxa"/>
            <w:tcBorders>
              <w:top w:val="none" w:sz="0" w:space="0" w:color="FFFFFF"/>
              <w:left w:val="none" w:sz="0" w:space="0" w:color="FFFFFF"/>
              <w:bottom w:val="none" w:sz="0" w:space="0" w:color="FFFFFF"/>
              <w:right w:val="none" w:sz="0" w:space="0" w:color="FFFFFF"/>
            </w:tcBorders>
            <w:shd w:val="clear" w:color="auto" w:fill="FFFFFF"/>
            <w:tcMar>
              <w:top w:w="120" w:type="dxa"/>
              <w:left w:w="180" w:type="dxa"/>
              <w:bottom w:w="120" w:type="dxa"/>
              <w:right w:w="120" w:type="dxa"/>
            </w:tcMar>
          </w:tcPr>
          <w:p w14:paraId="3E3DBA1F" w14:textId="77777777" w:rsidR="0018778E" w:rsidRDefault="00000000">
            <w:pPr>
              <w:spacing w:after="40"/>
            </w:pPr>
            <w:r>
              <w:rPr>
                <w:rFonts w:ascii="Calibri" w:eastAsia="Calibri" w:hAnsi="Calibri" w:cs="Calibri"/>
                <w:b/>
                <w:bCs/>
                <w:color w:val="0C2340"/>
                <w:sz w:val="22"/>
                <w:szCs w:val="22"/>
              </w:rPr>
              <w:t>Write to Guardian directly</w:t>
            </w:r>
          </w:p>
          <w:p w14:paraId="611A015D" w14:textId="77777777" w:rsidR="0018778E" w:rsidRDefault="00000000">
            <w:r>
              <w:rPr>
                <w:rFonts w:ascii="Calibri" w:eastAsia="Calibri" w:hAnsi="Calibri" w:cs="Calibri"/>
                <w:color w:val="444444"/>
                <w:sz w:val="19"/>
                <w:szCs w:val="19"/>
              </w:rPr>
              <w:t>Reach out to the Compliance Officer or Principal Officer with the details of your complaint. Guardian will acknowledge and work toward resolution within the prescribed timelines.</w:t>
            </w:r>
          </w:p>
        </w:tc>
      </w:tr>
      <w:tr w:rsidR="0018778E" w14:paraId="3CD5FFB9" w14:textId="77777777">
        <w:tc>
          <w:tcPr>
            <w:tcW w:w="600" w:type="dxa"/>
            <w:tcBorders>
              <w:top w:val="none" w:sz="0" w:space="0" w:color="FFFFFF"/>
              <w:left w:val="none" w:sz="0" w:space="0" w:color="FFFFFF"/>
              <w:bottom w:val="none" w:sz="0" w:space="0" w:color="FFFFFF"/>
              <w:right w:val="none" w:sz="0" w:space="0" w:color="FFFFFF"/>
            </w:tcBorders>
            <w:shd w:val="clear" w:color="auto" w:fill="E8F0F8"/>
            <w:tcMar>
              <w:top w:w="120" w:type="dxa"/>
              <w:left w:w="120" w:type="dxa"/>
              <w:bottom w:w="120" w:type="dxa"/>
              <w:right w:w="120" w:type="dxa"/>
            </w:tcMar>
            <w:vAlign w:val="center"/>
          </w:tcPr>
          <w:p w14:paraId="208F4F40" w14:textId="77777777" w:rsidR="0018778E" w:rsidRDefault="00000000">
            <w:pPr>
              <w:jc w:val="center"/>
            </w:pPr>
            <w:r>
              <w:rPr>
                <w:rFonts w:ascii="Calibri" w:eastAsia="Calibri" w:hAnsi="Calibri" w:cs="Calibri"/>
                <w:b/>
                <w:bCs/>
                <w:color w:val="185FA5"/>
                <w:sz w:val="24"/>
                <w:szCs w:val="24"/>
              </w:rPr>
              <w:t>2</w:t>
            </w:r>
          </w:p>
        </w:tc>
        <w:tc>
          <w:tcPr>
            <w:tcW w:w="8760" w:type="dxa"/>
            <w:tcBorders>
              <w:top w:val="none" w:sz="0" w:space="0" w:color="FFFFFF"/>
              <w:left w:val="none" w:sz="0" w:space="0" w:color="FFFFFF"/>
              <w:bottom w:val="none" w:sz="0" w:space="0" w:color="FFFFFF"/>
              <w:right w:val="none" w:sz="0" w:space="0" w:color="FFFFFF"/>
            </w:tcBorders>
            <w:shd w:val="clear" w:color="auto" w:fill="FFFFFF"/>
            <w:tcMar>
              <w:top w:w="120" w:type="dxa"/>
              <w:left w:w="180" w:type="dxa"/>
              <w:bottom w:w="120" w:type="dxa"/>
              <w:right w:w="120" w:type="dxa"/>
            </w:tcMar>
          </w:tcPr>
          <w:p w14:paraId="34E01687" w14:textId="77777777" w:rsidR="0018778E" w:rsidRDefault="00000000">
            <w:pPr>
              <w:spacing w:after="40"/>
            </w:pPr>
            <w:r>
              <w:rPr>
                <w:rFonts w:ascii="Calibri" w:eastAsia="Calibri" w:hAnsi="Calibri" w:cs="Calibri"/>
                <w:b/>
                <w:bCs/>
                <w:color w:val="0C2340"/>
                <w:sz w:val="22"/>
                <w:szCs w:val="22"/>
              </w:rPr>
              <w:t>Escalate to the Compliance department</w:t>
            </w:r>
          </w:p>
          <w:p w14:paraId="13CD0F70" w14:textId="77777777" w:rsidR="0018778E" w:rsidRDefault="00000000">
            <w:r>
              <w:rPr>
                <w:rFonts w:ascii="Calibri" w:eastAsia="Calibri" w:hAnsi="Calibri" w:cs="Calibri"/>
                <w:color w:val="444444"/>
                <w:sz w:val="19"/>
                <w:szCs w:val="19"/>
              </w:rPr>
              <w:t>If you have not received a reply within 10 business days, or are unsatisfied with the initial response, escalate to the Compliance department. You can expect a reply within 10 business days. Guardian shall endeavour to redress all grievances not later than 21 calendar days from the date of receipt of the complaint.</w:t>
            </w:r>
          </w:p>
        </w:tc>
      </w:tr>
      <w:tr w:rsidR="0018778E" w14:paraId="0150628A" w14:textId="77777777">
        <w:tc>
          <w:tcPr>
            <w:tcW w:w="600" w:type="dxa"/>
            <w:tcBorders>
              <w:top w:val="none" w:sz="0" w:space="0" w:color="FFFFFF"/>
              <w:left w:val="none" w:sz="0" w:space="0" w:color="FFFFFF"/>
              <w:bottom w:val="none" w:sz="0" w:space="0" w:color="FFFFFF"/>
              <w:right w:val="none" w:sz="0" w:space="0" w:color="FFFFFF"/>
            </w:tcBorders>
            <w:shd w:val="clear" w:color="auto" w:fill="E8F0F8"/>
            <w:tcMar>
              <w:top w:w="120" w:type="dxa"/>
              <w:left w:w="120" w:type="dxa"/>
              <w:bottom w:w="120" w:type="dxa"/>
              <w:right w:w="120" w:type="dxa"/>
            </w:tcMar>
            <w:vAlign w:val="center"/>
          </w:tcPr>
          <w:p w14:paraId="78C03358" w14:textId="77777777" w:rsidR="0018778E" w:rsidRDefault="00000000">
            <w:pPr>
              <w:jc w:val="center"/>
            </w:pPr>
            <w:r>
              <w:rPr>
                <w:rFonts w:ascii="Calibri" w:eastAsia="Calibri" w:hAnsi="Calibri" w:cs="Calibri"/>
                <w:b/>
                <w:bCs/>
                <w:color w:val="185FA5"/>
                <w:sz w:val="24"/>
                <w:szCs w:val="24"/>
              </w:rPr>
              <w:t>3</w:t>
            </w:r>
          </w:p>
        </w:tc>
        <w:tc>
          <w:tcPr>
            <w:tcW w:w="8760" w:type="dxa"/>
            <w:tcBorders>
              <w:top w:val="none" w:sz="0" w:space="0" w:color="FFFFFF"/>
              <w:left w:val="none" w:sz="0" w:space="0" w:color="FFFFFF"/>
              <w:bottom w:val="none" w:sz="0" w:space="0" w:color="FFFFFF"/>
              <w:right w:val="none" w:sz="0" w:space="0" w:color="FFFFFF"/>
            </w:tcBorders>
            <w:shd w:val="clear" w:color="auto" w:fill="FFFFFF"/>
            <w:tcMar>
              <w:top w:w="120" w:type="dxa"/>
              <w:left w:w="180" w:type="dxa"/>
              <w:bottom w:w="120" w:type="dxa"/>
              <w:right w:w="120" w:type="dxa"/>
            </w:tcMar>
          </w:tcPr>
          <w:p w14:paraId="007EC0B1" w14:textId="77777777" w:rsidR="0018778E" w:rsidRDefault="00000000">
            <w:pPr>
              <w:spacing w:after="40"/>
            </w:pPr>
            <w:r>
              <w:rPr>
                <w:rFonts w:ascii="Calibri" w:eastAsia="Calibri" w:hAnsi="Calibri" w:cs="Calibri"/>
                <w:b/>
                <w:bCs/>
                <w:color w:val="0C2340"/>
                <w:sz w:val="22"/>
                <w:szCs w:val="22"/>
              </w:rPr>
              <w:t>Lodge a complaint on SEBI SCORES</w:t>
            </w:r>
          </w:p>
          <w:p w14:paraId="19B2F43C" w14:textId="77777777" w:rsidR="0018778E" w:rsidRDefault="00000000">
            <w:r>
              <w:rPr>
                <w:rFonts w:ascii="Calibri" w:eastAsia="Calibri" w:hAnsi="Calibri" w:cs="Calibri"/>
                <w:color w:val="444444"/>
                <w:sz w:val="19"/>
                <w:szCs w:val="19"/>
              </w:rPr>
              <w:t>If still unsatisfied, register your complaint at scores.sebi.gov.in. Complaints must be lodged within one year from the date of the cause of action. SEBI also offers a Complaint Review Facility — a one-time option to seek review within 15 days of closure on SCORES.</w:t>
            </w:r>
          </w:p>
        </w:tc>
      </w:tr>
      <w:tr w:rsidR="0018778E" w14:paraId="3229526F" w14:textId="77777777">
        <w:tc>
          <w:tcPr>
            <w:tcW w:w="600" w:type="dxa"/>
            <w:tcBorders>
              <w:top w:val="none" w:sz="0" w:space="0" w:color="FFFFFF"/>
              <w:left w:val="none" w:sz="0" w:space="0" w:color="FFFFFF"/>
              <w:bottom w:val="none" w:sz="0" w:space="0" w:color="FFFFFF"/>
              <w:right w:val="none" w:sz="0" w:space="0" w:color="FFFFFF"/>
            </w:tcBorders>
            <w:shd w:val="clear" w:color="auto" w:fill="E8F0F8"/>
            <w:tcMar>
              <w:top w:w="120" w:type="dxa"/>
              <w:left w:w="120" w:type="dxa"/>
              <w:bottom w:w="120" w:type="dxa"/>
              <w:right w:w="120" w:type="dxa"/>
            </w:tcMar>
            <w:vAlign w:val="center"/>
          </w:tcPr>
          <w:p w14:paraId="03E104B7" w14:textId="77777777" w:rsidR="0018778E" w:rsidRDefault="00000000">
            <w:pPr>
              <w:jc w:val="center"/>
            </w:pPr>
            <w:r>
              <w:rPr>
                <w:rFonts w:ascii="Calibri" w:eastAsia="Calibri" w:hAnsi="Calibri" w:cs="Calibri"/>
                <w:b/>
                <w:bCs/>
                <w:color w:val="185FA5"/>
                <w:sz w:val="24"/>
                <w:szCs w:val="24"/>
              </w:rPr>
              <w:t>4</w:t>
            </w:r>
          </w:p>
        </w:tc>
        <w:tc>
          <w:tcPr>
            <w:tcW w:w="8760" w:type="dxa"/>
            <w:tcBorders>
              <w:top w:val="none" w:sz="0" w:space="0" w:color="FFFFFF"/>
              <w:left w:val="none" w:sz="0" w:space="0" w:color="FFFFFF"/>
              <w:bottom w:val="none" w:sz="0" w:space="0" w:color="FFFFFF"/>
              <w:right w:val="none" w:sz="0" w:space="0" w:color="FFFFFF"/>
            </w:tcBorders>
            <w:shd w:val="clear" w:color="auto" w:fill="FFFFFF"/>
            <w:tcMar>
              <w:top w:w="120" w:type="dxa"/>
              <w:left w:w="180" w:type="dxa"/>
              <w:bottom w:w="120" w:type="dxa"/>
              <w:right w:w="120" w:type="dxa"/>
            </w:tcMar>
          </w:tcPr>
          <w:p w14:paraId="6A7EA1A1" w14:textId="77777777" w:rsidR="0018778E" w:rsidRDefault="00000000">
            <w:pPr>
              <w:spacing w:after="40"/>
            </w:pPr>
            <w:r>
              <w:rPr>
                <w:rFonts w:ascii="Calibri" w:eastAsia="Calibri" w:hAnsi="Calibri" w:cs="Calibri"/>
                <w:b/>
                <w:bCs/>
                <w:color w:val="0C2340"/>
                <w:sz w:val="22"/>
                <w:szCs w:val="22"/>
              </w:rPr>
              <w:t>Online Dispute Resolution (ODR)</w:t>
            </w:r>
          </w:p>
          <w:p w14:paraId="170B9394" w14:textId="77777777" w:rsidR="0018778E" w:rsidRDefault="00000000">
            <w:r>
              <w:rPr>
                <w:rFonts w:ascii="Calibri" w:eastAsia="Calibri" w:hAnsi="Calibri" w:cs="Calibri"/>
                <w:color w:val="444444"/>
                <w:sz w:val="19"/>
                <w:szCs w:val="19"/>
              </w:rPr>
              <w:t>After exhausting all above options, disputes may be initiated through the SEBI Online Dispute Resolution Portal at smartodr.in. This channel is available where the matter is not pending before any court, tribunal, arbitral process, or consumer forum.</w:t>
            </w:r>
          </w:p>
        </w:tc>
      </w:tr>
    </w:tbl>
    <w:p w14:paraId="764C329B" w14:textId="77777777" w:rsidR="0018778E" w:rsidRDefault="00000000">
      <w:pPr>
        <w:spacing w:before="320" w:after="120"/>
      </w:pPr>
      <w:r>
        <w:rPr>
          <w:rFonts w:ascii="Calibri" w:eastAsia="Calibri" w:hAnsi="Calibri" w:cs="Calibri"/>
          <w:b/>
          <w:bCs/>
          <w:color w:val="666666"/>
          <w:sz w:val="17"/>
          <w:szCs w:val="17"/>
        </w:rPr>
        <w:t>CONTACT DETAILS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18778E" w14:paraId="6121FC4E" w14:textId="77777777">
        <w:tc>
          <w:tcPr>
            <w:tcW w:w="3120" w:type="dxa"/>
            <w:tcBorders>
              <w:top w:val="single" w:sz="1" w:space="0" w:color="DDDDDD"/>
              <w:left w:val="single" w:sz="1" w:space="0" w:color="DDDDDD"/>
              <w:bottom w:val="single" w:sz="1" w:space="0" w:color="DDDDDD"/>
              <w:right w:val="single" w:sz="1" w:space="0" w:color="DDDDDD"/>
            </w:tcBorders>
            <w:shd w:val="clear" w:color="auto" w:fill="FAFAFA"/>
            <w:tcMar>
              <w:top w:w="120" w:type="dxa"/>
              <w:left w:w="160" w:type="dxa"/>
              <w:bottom w:w="120" w:type="dxa"/>
              <w:right w:w="160" w:type="dxa"/>
            </w:tcMar>
          </w:tcPr>
          <w:p w14:paraId="643E4CAF" w14:textId="77777777" w:rsidR="0018778E" w:rsidRDefault="00000000">
            <w:pPr>
              <w:spacing w:after="40"/>
            </w:pPr>
            <w:r>
              <w:rPr>
                <w:rFonts w:ascii="Calibri" w:eastAsia="Calibri" w:hAnsi="Calibri" w:cs="Calibri"/>
                <w:b/>
                <w:bCs/>
                <w:color w:val="666666"/>
                <w:sz w:val="16"/>
                <w:szCs w:val="16"/>
              </w:rPr>
              <w:t>COMPLIANCE OFFICER</w:t>
            </w:r>
          </w:p>
          <w:p w14:paraId="4510B076" w14:textId="77777777" w:rsidR="0018778E" w:rsidRDefault="00000000">
            <w:pPr>
              <w:spacing w:after="40"/>
            </w:pPr>
            <w:r>
              <w:rPr>
                <w:rFonts w:ascii="Calibri" w:eastAsia="Calibri" w:hAnsi="Calibri" w:cs="Calibri"/>
                <w:b/>
                <w:bCs/>
                <w:color w:val="0C2340"/>
              </w:rPr>
              <w:t>Mrs. Rinku H Jain</w:t>
            </w:r>
          </w:p>
          <w:p w14:paraId="2C4E855F" w14:textId="77777777" w:rsidR="0018778E" w:rsidRDefault="00000000">
            <w:r>
              <w:rPr>
                <w:rFonts w:ascii="Calibri" w:eastAsia="Calibri" w:hAnsi="Calibri" w:cs="Calibri"/>
                <w:color w:val="444444"/>
                <w:sz w:val="18"/>
                <w:szCs w:val="18"/>
              </w:rPr>
              <w:t>rinku.jain@gcia.in</w:t>
            </w:r>
          </w:p>
          <w:p w14:paraId="5B5F5391" w14:textId="77777777" w:rsidR="0018778E" w:rsidRDefault="00000000">
            <w:r>
              <w:rPr>
                <w:rFonts w:ascii="Calibri" w:eastAsia="Calibri" w:hAnsi="Calibri" w:cs="Calibri"/>
                <w:color w:val="444444"/>
                <w:sz w:val="18"/>
                <w:szCs w:val="18"/>
              </w:rPr>
              <w:t>+91 80194 46055</w:t>
            </w:r>
          </w:p>
        </w:tc>
        <w:tc>
          <w:tcPr>
            <w:tcW w:w="3120" w:type="dxa"/>
            <w:tcBorders>
              <w:top w:val="single" w:sz="1" w:space="0" w:color="DDDDDD"/>
              <w:left w:val="single" w:sz="1" w:space="0" w:color="DDDDDD"/>
              <w:bottom w:val="single" w:sz="1" w:space="0" w:color="DDDDDD"/>
              <w:right w:val="single" w:sz="1" w:space="0" w:color="DDDDDD"/>
            </w:tcBorders>
            <w:shd w:val="clear" w:color="auto" w:fill="FAFAFA"/>
            <w:tcMar>
              <w:top w:w="120" w:type="dxa"/>
              <w:left w:w="160" w:type="dxa"/>
              <w:bottom w:w="120" w:type="dxa"/>
              <w:right w:w="160" w:type="dxa"/>
            </w:tcMar>
          </w:tcPr>
          <w:p w14:paraId="7315DB82" w14:textId="77777777" w:rsidR="0018778E" w:rsidRDefault="00000000">
            <w:pPr>
              <w:spacing w:after="40"/>
            </w:pPr>
            <w:r>
              <w:rPr>
                <w:rFonts w:ascii="Calibri" w:eastAsia="Calibri" w:hAnsi="Calibri" w:cs="Calibri"/>
                <w:b/>
                <w:bCs/>
                <w:color w:val="666666"/>
                <w:sz w:val="16"/>
                <w:szCs w:val="16"/>
              </w:rPr>
              <w:t>PRINCIPAL OFFICER</w:t>
            </w:r>
          </w:p>
          <w:p w14:paraId="2892F168" w14:textId="77777777" w:rsidR="0018778E" w:rsidRDefault="00000000">
            <w:pPr>
              <w:spacing w:after="40"/>
            </w:pPr>
            <w:r>
              <w:rPr>
                <w:rFonts w:ascii="Calibri" w:eastAsia="Calibri" w:hAnsi="Calibri" w:cs="Calibri"/>
                <w:b/>
                <w:bCs/>
                <w:color w:val="0C2340"/>
              </w:rPr>
              <w:t>Guardian Capital Investment Advisors</w:t>
            </w:r>
          </w:p>
          <w:p w14:paraId="2843DAE8" w14:textId="77777777" w:rsidR="0018778E" w:rsidRDefault="00000000">
            <w:r>
              <w:rPr>
                <w:rFonts w:ascii="Calibri" w:eastAsia="Calibri" w:hAnsi="Calibri" w:cs="Calibri"/>
                <w:color w:val="444444"/>
                <w:sz w:val="18"/>
                <w:szCs w:val="18"/>
              </w:rPr>
              <w:t>info@gcia.in</w:t>
            </w:r>
          </w:p>
        </w:tc>
        <w:tc>
          <w:tcPr>
            <w:tcW w:w="3120" w:type="dxa"/>
            <w:tcBorders>
              <w:top w:val="single" w:sz="1" w:space="0" w:color="DDDDDD"/>
              <w:left w:val="single" w:sz="1" w:space="0" w:color="DDDDDD"/>
              <w:bottom w:val="single" w:sz="1" w:space="0" w:color="DDDDDD"/>
              <w:right w:val="single" w:sz="1" w:space="0" w:color="DDDDDD"/>
            </w:tcBorders>
            <w:shd w:val="clear" w:color="auto" w:fill="FAFAFA"/>
            <w:tcMar>
              <w:top w:w="120" w:type="dxa"/>
              <w:left w:w="160" w:type="dxa"/>
              <w:bottom w:w="120" w:type="dxa"/>
              <w:right w:w="160" w:type="dxa"/>
            </w:tcMar>
          </w:tcPr>
          <w:p w14:paraId="4E31ABA1" w14:textId="77777777" w:rsidR="0018778E" w:rsidRDefault="00000000">
            <w:pPr>
              <w:spacing w:after="40"/>
            </w:pPr>
            <w:r>
              <w:rPr>
                <w:rFonts w:ascii="Calibri" w:eastAsia="Calibri" w:hAnsi="Calibri" w:cs="Calibri"/>
                <w:b/>
                <w:bCs/>
                <w:color w:val="666666"/>
                <w:sz w:val="16"/>
                <w:szCs w:val="16"/>
              </w:rPr>
              <w:t>SEBI HELPLINE</w:t>
            </w:r>
          </w:p>
          <w:p w14:paraId="629225EA" w14:textId="77777777" w:rsidR="0018778E" w:rsidRDefault="00000000">
            <w:pPr>
              <w:spacing w:after="40"/>
            </w:pPr>
            <w:r>
              <w:rPr>
                <w:rFonts w:ascii="Calibri" w:eastAsia="Calibri" w:hAnsi="Calibri" w:cs="Calibri"/>
                <w:b/>
                <w:bCs/>
                <w:color w:val="0C2340"/>
              </w:rPr>
              <w:t>SEBI Toll Free</w:t>
            </w:r>
          </w:p>
          <w:p w14:paraId="1BC56777" w14:textId="77777777" w:rsidR="0018778E" w:rsidRDefault="00000000">
            <w:r>
              <w:rPr>
                <w:rFonts w:ascii="Calibri" w:eastAsia="Calibri" w:hAnsi="Calibri" w:cs="Calibri"/>
                <w:color w:val="444444"/>
                <w:sz w:val="18"/>
                <w:szCs w:val="18"/>
              </w:rPr>
              <w:t>1800 22 7575</w:t>
            </w:r>
          </w:p>
          <w:p w14:paraId="7F1EF174" w14:textId="77777777" w:rsidR="0018778E" w:rsidRDefault="00000000">
            <w:r>
              <w:rPr>
                <w:rFonts w:ascii="Calibri" w:eastAsia="Calibri" w:hAnsi="Calibri" w:cs="Calibri"/>
                <w:color w:val="444444"/>
                <w:sz w:val="18"/>
                <w:szCs w:val="18"/>
              </w:rPr>
              <w:t>1800 266 7575</w:t>
            </w:r>
          </w:p>
        </w:tc>
      </w:tr>
    </w:tbl>
    <w:p w14:paraId="6FD91E44" w14:textId="77777777" w:rsidR="0018778E" w:rsidRDefault="00000000">
      <w:pPr>
        <w:spacing w:before="320" w:after="120"/>
      </w:pPr>
      <w:r>
        <w:rPr>
          <w:rFonts w:ascii="Calibri" w:eastAsia="Calibri" w:hAnsi="Calibri" w:cs="Calibri"/>
          <w:b/>
          <w:bCs/>
          <w:color w:val="666666"/>
          <w:sz w:val="17"/>
          <w:szCs w:val="17"/>
        </w:rPr>
        <w:t>RESOLUTION TIMELINES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18778E" w14:paraId="66C6E425" w14:textId="77777777">
        <w:tc>
          <w:tcPr>
            <w:tcW w:w="2340" w:type="dxa"/>
            <w:tcBorders>
              <w:top w:val="none" w:sz="0" w:space="0" w:color="FFFFFF"/>
              <w:left w:val="none" w:sz="0" w:space="0" w:color="FFFFFF"/>
              <w:bottom w:val="none" w:sz="0" w:space="0" w:color="FFFFFF"/>
              <w:right w:val="none" w:sz="0" w:space="0" w:color="FFFFFF"/>
            </w:tcBorders>
            <w:shd w:val="clear" w:color="auto" w:fill="F7F5F0"/>
            <w:tcMar>
              <w:top w:w="140" w:type="dxa"/>
              <w:left w:w="120" w:type="dxa"/>
              <w:bottom w:w="140" w:type="dxa"/>
              <w:right w:w="120" w:type="dxa"/>
            </w:tcMar>
          </w:tcPr>
          <w:p w14:paraId="776B000D" w14:textId="77777777" w:rsidR="0018778E" w:rsidRDefault="00000000">
            <w:pPr>
              <w:spacing w:after="30"/>
              <w:jc w:val="center"/>
            </w:pPr>
            <w:r>
              <w:rPr>
                <w:rFonts w:ascii="Calibri" w:eastAsia="Calibri" w:hAnsi="Calibri" w:cs="Calibri"/>
                <w:b/>
                <w:bCs/>
                <w:color w:val="185FA5"/>
                <w:sz w:val="48"/>
                <w:szCs w:val="48"/>
              </w:rPr>
              <w:t>10</w:t>
            </w:r>
          </w:p>
          <w:p w14:paraId="5EEDDB65" w14:textId="77777777" w:rsidR="0018778E" w:rsidRDefault="00000000">
            <w:pPr>
              <w:jc w:val="center"/>
            </w:pPr>
            <w:r>
              <w:rPr>
                <w:rFonts w:ascii="Calibri" w:eastAsia="Calibri" w:hAnsi="Calibri" w:cs="Calibri"/>
                <w:color w:val="666666"/>
                <w:sz w:val="17"/>
                <w:szCs w:val="17"/>
              </w:rPr>
              <w:t>Business days initial response</w:t>
            </w:r>
          </w:p>
        </w:tc>
        <w:tc>
          <w:tcPr>
            <w:tcW w:w="2340" w:type="dxa"/>
            <w:tcBorders>
              <w:top w:val="none" w:sz="0" w:space="0" w:color="FFFFFF"/>
              <w:left w:val="none" w:sz="0" w:space="0" w:color="FFFFFF"/>
              <w:bottom w:val="none" w:sz="0" w:space="0" w:color="FFFFFF"/>
              <w:right w:val="none" w:sz="0" w:space="0" w:color="FFFFFF"/>
            </w:tcBorders>
            <w:shd w:val="clear" w:color="auto" w:fill="F7F5F0"/>
            <w:tcMar>
              <w:top w:w="140" w:type="dxa"/>
              <w:left w:w="120" w:type="dxa"/>
              <w:bottom w:w="140" w:type="dxa"/>
              <w:right w:w="120" w:type="dxa"/>
            </w:tcMar>
          </w:tcPr>
          <w:p w14:paraId="6606A873" w14:textId="77777777" w:rsidR="0018778E" w:rsidRDefault="00000000">
            <w:pPr>
              <w:spacing w:after="30"/>
              <w:jc w:val="center"/>
            </w:pPr>
            <w:r>
              <w:rPr>
                <w:rFonts w:ascii="Calibri" w:eastAsia="Calibri" w:hAnsi="Calibri" w:cs="Calibri"/>
                <w:b/>
                <w:bCs/>
                <w:color w:val="185FA5"/>
                <w:sz w:val="48"/>
                <w:szCs w:val="48"/>
              </w:rPr>
              <w:t>10</w:t>
            </w:r>
          </w:p>
          <w:p w14:paraId="28794029" w14:textId="77777777" w:rsidR="0018778E" w:rsidRDefault="00000000">
            <w:pPr>
              <w:jc w:val="center"/>
            </w:pPr>
            <w:r>
              <w:rPr>
                <w:rFonts w:ascii="Calibri" w:eastAsia="Calibri" w:hAnsi="Calibri" w:cs="Calibri"/>
                <w:color w:val="666666"/>
                <w:sz w:val="17"/>
                <w:szCs w:val="17"/>
              </w:rPr>
              <w:t>Business days compliance response</w:t>
            </w:r>
          </w:p>
        </w:tc>
        <w:tc>
          <w:tcPr>
            <w:tcW w:w="2340" w:type="dxa"/>
            <w:tcBorders>
              <w:top w:val="none" w:sz="0" w:space="0" w:color="FFFFFF"/>
              <w:left w:val="none" w:sz="0" w:space="0" w:color="FFFFFF"/>
              <w:bottom w:val="none" w:sz="0" w:space="0" w:color="FFFFFF"/>
              <w:right w:val="none" w:sz="0" w:space="0" w:color="FFFFFF"/>
            </w:tcBorders>
            <w:shd w:val="clear" w:color="auto" w:fill="F7F5F0"/>
            <w:tcMar>
              <w:top w:w="140" w:type="dxa"/>
              <w:left w:w="120" w:type="dxa"/>
              <w:bottom w:w="140" w:type="dxa"/>
              <w:right w:w="120" w:type="dxa"/>
            </w:tcMar>
          </w:tcPr>
          <w:p w14:paraId="4E9F2C73" w14:textId="77777777" w:rsidR="0018778E" w:rsidRDefault="00000000">
            <w:pPr>
              <w:spacing w:after="30"/>
              <w:jc w:val="center"/>
            </w:pPr>
            <w:r>
              <w:rPr>
                <w:rFonts w:ascii="Calibri" w:eastAsia="Calibri" w:hAnsi="Calibri" w:cs="Calibri"/>
                <w:b/>
                <w:bCs/>
                <w:color w:val="185FA5"/>
                <w:sz w:val="48"/>
                <w:szCs w:val="48"/>
              </w:rPr>
              <w:t>21</w:t>
            </w:r>
          </w:p>
          <w:p w14:paraId="4B792386" w14:textId="77777777" w:rsidR="0018778E" w:rsidRDefault="00000000">
            <w:pPr>
              <w:jc w:val="center"/>
            </w:pPr>
            <w:r>
              <w:rPr>
                <w:rFonts w:ascii="Calibri" w:eastAsia="Calibri" w:hAnsi="Calibri" w:cs="Calibri"/>
                <w:color w:val="666666"/>
                <w:sz w:val="17"/>
                <w:szCs w:val="17"/>
              </w:rPr>
              <w:t>Calendar days maximum redressal</w:t>
            </w:r>
          </w:p>
        </w:tc>
        <w:tc>
          <w:tcPr>
            <w:tcW w:w="2340" w:type="dxa"/>
            <w:tcBorders>
              <w:top w:val="none" w:sz="0" w:space="0" w:color="FFFFFF"/>
              <w:left w:val="none" w:sz="0" w:space="0" w:color="FFFFFF"/>
              <w:bottom w:val="none" w:sz="0" w:space="0" w:color="FFFFFF"/>
              <w:right w:val="none" w:sz="0" w:space="0" w:color="FFFFFF"/>
            </w:tcBorders>
            <w:shd w:val="clear" w:color="auto" w:fill="F7F5F0"/>
            <w:tcMar>
              <w:top w:w="140" w:type="dxa"/>
              <w:left w:w="120" w:type="dxa"/>
              <w:bottom w:w="140" w:type="dxa"/>
              <w:right w:w="120" w:type="dxa"/>
            </w:tcMar>
          </w:tcPr>
          <w:p w14:paraId="0154AD2A" w14:textId="77777777" w:rsidR="0018778E" w:rsidRDefault="00000000">
            <w:pPr>
              <w:spacing w:after="30"/>
              <w:jc w:val="center"/>
            </w:pPr>
            <w:r>
              <w:rPr>
                <w:rFonts w:ascii="Calibri" w:eastAsia="Calibri" w:hAnsi="Calibri" w:cs="Calibri"/>
                <w:b/>
                <w:bCs/>
                <w:color w:val="185FA5"/>
                <w:sz w:val="48"/>
                <w:szCs w:val="48"/>
              </w:rPr>
              <w:t>15</w:t>
            </w:r>
          </w:p>
          <w:p w14:paraId="2883E3CC" w14:textId="77777777" w:rsidR="0018778E" w:rsidRDefault="00000000">
            <w:pPr>
              <w:jc w:val="center"/>
            </w:pPr>
            <w:r>
              <w:rPr>
                <w:rFonts w:ascii="Calibri" w:eastAsia="Calibri" w:hAnsi="Calibri" w:cs="Calibri"/>
                <w:color w:val="666666"/>
                <w:sz w:val="17"/>
                <w:szCs w:val="17"/>
              </w:rPr>
              <w:t>Days for SCORES complaint review</w:t>
            </w:r>
          </w:p>
        </w:tc>
      </w:tr>
    </w:tbl>
    <w:p w14:paraId="2FDAC5B4" w14:textId="77777777" w:rsidR="005D78DA" w:rsidRDefault="005D78DA">
      <w:pPr>
        <w:spacing w:before="320" w:after="120"/>
        <w:rPr>
          <w:rFonts w:ascii="Calibri" w:eastAsia="Calibri" w:hAnsi="Calibri" w:cs="Calibri"/>
          <w:b/>
          <w:bCs/>
          <w:color w:val="666666"/>
          <w:sz w:val="17"/>
          <w:szCs w:val="17"/>
        </w:rPr>
      </w:pPr>
    </w:p>
    <w:p w14:paraId="4AC8AECE" w14:textId="77777777" w:rsidR="005D78DA" w:rsidRDefault="005D78DA">
      <w:pPr>
        <w:spacing w:before="320" w:after="120"/>
        <w:rPr>
          <w:rFonts w:ascii="Calibri" w:eastAsia="Calibri" w:hAnsi="Calibri" w:cs="Calibri"/>
          <w:b/>
          <w:bCs/>
          <w:color w:val="666666"/>
          <w:sz w:val="17"/>
          <w:szCs w:val="17"/>
        </w:rPr>
      </w:pPr>
    </w:p>
    <w:p w14:paraId="772B5F61" w14:textId="62009107" w:rsidR="0018778E" w:rsidRDefault="00000000">
      <w:pPr>
        <w:spacing w:before="320" w:after="120"/>
      </w:pPr>
      <w:r>
        <w:rPr>
          <w:rFonts w:ascii="Calibri" w:eastAsia="Calibri" w:hAnsi="Calibri" w:cs="Calibri"/>
          <w:b/>
          <w:bCs/>
          <w:color w:val="666666"/>
          <w:sz w:val="17"/>
          <w:szCs w:val="17"/>
        </w:rPr>
        <w:t>SEBI SCORES 2.0</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778E" w14:paraId="3FBC7563" w14:textId="77777777">
        <w:tc>
          <w:tcPr>
            <w:tcW w:w="9360" w:type="dxa"/>
            <w:tcBorders>
              <w:top w:val="single" w:sz="1" w:space="0" w:color="DDDDDD"/>
              <w:left w:val="single" w:sz="1" w:space="0" w:color="DDDDDD"/>
              <w:bottom w:val="single" w:sz="1" w:space="0" w:color="DDDDDD"/>
              <w:right w:val="single" w:sz="1" w:space="0" w:color="DDDDDD"/>
            </w:tcBorders>
            <w:shd w:val="clear" w:color="auto" w:fill="FEF9E7"/>
            <w:tcMar>
              <w:top w:w="140" w:type="dxa"/>
              <w:left w:w="180" w:type="dxa"/>
              <w:bottom w:w="140" w:type="dxa"/>
              <w:right w:w="180" w:type="dxa"/>
            </w:tcMar>
          </w:tcPr>
          <w:p w14:paraId="55F6FF1A" w14:textId="77777777" w:rsidR="0018778E" w:rsidRDefault="00000000">
            <w:pPr>
              <w:spacing w:after="60"/>
            </w:pPr>
            <w:r>
              <w:rPr>
                <w:rFonts w:ascii="Calibri" w:eastAsia="Calibri" w:hAnsi="Calibri" w:cs="Calibri"/>
                <w:b/>
                <w:bCs/>
                <w:color w:val="854F0B"/>
                <w:sz w:val="18"/>
                <w:szCs w:val="18"/>
              </w:rPr>
              <w:t xml:space="preserve">SEBI SCORES 2.0  </w:t>
            </w:r>
            <w:r>
              <w:rPr>
                <w:rFonts w:ascii="Calibri" w:eastAsia="Calibri" w:hAnsi="Calibri" w:cs="Calibri"/>
                <w:b/>
                <w:bCs/>
                <w:color w:val="0C2340"/>
              </w:rPr>
              <w:t>Investor Grievance Portal</w:t>
            </w:r>
          </w:p>
          <w:p w14:paraId="7FA573D0" w14:textId="77777777" w:rsidR="0018778E" w:rsidRDefault="00000000">
            <w:pPr>
              <w:spacing w:after="80"/>
            </w:pPr>
            <w:r>
              <w:rPr>
                <w:rFonts w:ascii="Calibri" w:eastAsia="Calibri" w:hAnsi="Calibri" w:cs="Calibri"/>
                <w:color w:val="333333"/>
                <w:sz w:val="19"/>
                <w:szCs w:val="19"/>
              </w:rPr>
              <w:t>Lodge your complaint at scores.sebi.gov.in. Complaints must be filed within one year from the cause of action. SEBI SCORES can also be accessed via the SCORES mobile app (available on Android and iOS).</w:t>
            </w:r>
          </w:p>
          <w:p w14:paraId="0958FDEF" w14:textId="77777777" w:rsidR="0018778E" w:rsidRDefault="00000000">
            <w:pPr>
              <w:spacing w:after="40"/>
            </w:pPr>
            <w:r>
              <w:rPr>
                <w:rFonts w:ascii="Calibri" w:eastAsia="Calibri" w:hAnsi="Calibri" w:cs="Calibri"/>
                <w:b/>
                <w:bCs/>
                <w:color w:val="0C2340"/>
                <w:sz w:val="19"/>
                <w:szCs w:val="19"/>
              </w:rPr>
              <w:t>Eligible to file on SCORES when:</w:t>
            </w:r>
          </w:p>
          <w:p w14:paraId="3612679B" w14:textId="77777777" w:rsidR="0018778E" w:rsidRDefault="00000000">
            <w:pPr>
              <w:pStyle w:val="ListParagraph"/>
              <w:numPr>
                <w:ilvl w:val="0"/>
                <w:numId w:val="2"/>
              </w:numPr>
            </w:pPr>
            <w:r>
              <w:rPr>
                <w:rFonts w:ascii="Calibri" w:eastAsia="Calibri" w:hAnsi="Calibri" w:cs="Calibri"/>
                <w:color w:val="333333"/>
                <w:sz w:val="19"/>
                <w:szCs w:val="19"/>
              </w:rPr>
              <w:t>Guardian has been approached and the complaint was rejected, or</w:t>
            </w:r>
          </w:p>
          <w:p w14:paraId="7B1D7E78" w14:textId="77777777" w:rsidR="0018778E" w:rsidRDefault="00000000">
            <w:pPr>
              <w:pStyle w:val="ListParagraph"/>
              <w:numPr>
                <w:ilvl w:val="0"/>
                <w:numId w:val="2"/>
              </w:numPr>
            </w:pPr>
            <w:r>
              <w:rPr>
                <w:rFonts w:ascii="Calibri" w:eastAsia="Calibri" w:hAnsi="Calibri" w:cs="Calibri"/>
                <w:color w:val="333333"/>
                <w:sz w:val="19"/>
                <w:szCs w:val="19"/>
              </w:rPr>
              <w:t>No communication was received from Guardian, or</w:t>
            </w:r>
          </w:p>
          <w:p w14:paraId="3589C7A4" w14:textId="77777777" w:rsidR="0018778E" w:rsidRDefault="00000000">
            <w:pPr>
              <w:pStyle w:val="ListParagraph"/>
              <w:numPr>
                <w:ilvl w:val="0"/>
                <w:numId w:val="2"/>
              </w:numPr>
            </w:pPr>
            <w:r>
              <w:rPr>
                <w:rFonts w:ascii="Calibri" w:eastAsia="Calibri" w:hAnsi="Calibri" w:cs="Calibri"/>
                <w:color w:val="333333"/>
                <w:sz w:val="19"/>
                <w:szCs w:val="19"/>
              </w:rPr>
              <w:t>The investor is not satisfied with the reply or action taken</w:t>
            </w:r>
          </w:p>
          <w:p w14:paraId="01BCB6C6" w14:textId="77777777" w:rsidR="0018778E" w:rsidRDefault="00000000">
            <w:pPr>
              <w:spacing w:before="80"/>
            </w:pPr>
            <w:r>
              <w:rPr>
                <w:rFonts w:ascii="Calibri" w:eastAsia="Calibri" w:hAnsi="Calibri" w:cs="Calibri"/>
                <w:b/>
                <w:bCs/>
                <w:color w:val="666666"/>
                <w:sz w:val="18"/>
                <w:szCs w:val="18"/>
              </w:rPr>
              <w:t xml:space="preserve">App links: </w:t>
            </w:r>
            <w:r>
              <w:rPr>
                <w:rFonts w:ascii="Calibri" w:eastAsia="Calibri" w:hAnsi="Calibri" w:cs="Calibri"/>
                <w:color w:val="185FA5"/>
                <w:sz w:val="18"/>
                <w:szCs w:val="18"/>
              </w:rPr>
              <w:t>play.google.com/store/apps/</w:t>
            </w:r>
            <w:proofErr w:type="spellStart"/>
            <w:r>
              <w:rPr>
                <w:rFonts w:ascii="Calibri" w:eastAsia="Calibri" w:hAnsi="Calibri" w:cs="Calibri"/>
                <w:color w:val="185FA5"/>
                <w:sz w:val="18"/>
                <w:szCs w:val="18"/>
              </w:rPr>
              <w:t>details?id</w:t>
            </w:r>
            <w:proofErr w:type="spellEnd"/>
            <w:r>
              <w:rPr>
                <w:rFonts w:ascii="Calibri" w:eastAsia="Calibri" w:hAnsi="Calibri" w:cs="Calibri"/>
                <w:color w:val="185FA5"/>
                <w:sz w:val="18"/>
                <w:szCs w:val="18"/>
              </w:rPr>
              <w:t>=</w:t>
            </w:r>
            <w:proofErr w:type="spellStart"/>
            <w:r>
              <w:rPr>
                <w:rFonts w:ascii="Calibri" w:eastAsia="Calibri" w:hAnsi="Calibri" w:cs="Calibri"/>
                <w:color w:val="185FA5"/>
                <w:sz w:val="18"/>
                <w:szCs w:val="18"/>
              </w:rPr>
              <w:t>com.sebi</w:t>
            </w:r>
            <w:proofErr w:type="spellEnd"/>
            <w:r>
              <w:rPr>
                <w:rFonts w:ascii="Calibri" w:eastAsia="Calibri" w:hAnsi="Calibri" w:cs="Calibri"/>
                <w:color w:val="185FA5"/>
                <w:sz w:val="18"/>
                <w:szCs w:val="18"/>
              </w:rPr>
              <w:t xml:space="preserve">  |  apps.apple.com/in/app/</w:t>
            </w:r>
            <w:proofErr w:type="spellStart"/>
            <w:r>
              <w:rPr>
                <w:rFonts w:ascii="Calibri" w:eastAsia="Calibri" w:hAnsi="Calibri" w:cs="Calibri"/>
                <w:color w:val="185FA5"/>
                <w:sz w:val="18"/>
                <w:szCs w:val="18"/>
              </w:rPr>
              <w:t>sebiscores</w:t>
            </w:r>
            <w:proofErr w:type="spellEnd"/>
            <w:r>
              <w:rPr>
                <w:rFonts w:ascii="Calibri" w:eastAsia="Calibri" w:hAnsi="Calibri" w:cs="Calibri"/>
                <w:color w:val="185FA5"/>
                <w:sz w:val="18"/>
                <w:szCs w:val="18"/>
              </w:rPr>
              <w:t>/id1493257302</w:t>
            </w:r>
          </w:p>
        </w:tc>
      </w:tr>
    </w:tbl>
    <w:p w14:paraId="3BF03E4B" w14:textId="77777777" w:rsidR="0018778E" w:rsidRDefault="00000000">
      <w:pPr>
        <w:spacing w:before="320" w:after="120"/>
      </w:pPr>
      <w:r>
        <w:rPr>
          <w:rFonts w:ascii="Calibri" w:eastAsia="Calibri" w:hAnsi="Calibri" w:cs="Calibri"/>
          <w:b/>
          <w:bCs/>
          <w:color w:val="666666"/>
          <w:sz w:val="17"/>
          <w:szCs w:val="17"/>
        </w:rPr>
        <w:t>ONLINE DISPUTE RESOLUTION (ODR)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778E" w14:paraId="19E2808F" w14:textId="77777777">
        <w:tc>
          <w:tcPr>
            <w:tcW w:w="9360" w:type="dxa"/>
            <w:tcBorders>
              <w:top w:val="single" w:sz="1" w:space="0" w:color="DDDDDD"/>
              <w:left w:val="single" w:sz="1" w:space="0" w:color="DDDDDD"/>
              <w:bottom w:val="single" w:sz="1" w:space="0" w:color="DDDDDD"/>
              <w:right w:val="single" w:sz="1" w:space="0" w:color="DDDDDD"/>
            </w:tcBorders>
            <w:shd w:val="clear" w:color="auto" w:fill="EAF3DE"/>
            <w:tcMar>
              <w:top w:w="140" w:type="dxa"/>
              <w:left w:w="180" w:type="dxa"/>
              <w:bottom w:w="140" w:type="dxa"/>
              <w:right w:w="180" w:type="dxa"/>
            </w:tcMar>
          </w:tcPr>
          <w:p w14:paraId="0A92A03C" w14:textId="77777777" w:rsidR="0018778E" w:rsidRDefault="00000000">
            <w:pPr>
              <w:spacing w:after="60"/>
            </w:pPr>
            <w:r>
              <w:rPr>
                <w:rFonts w:ascii="Calibri" w:eastAsia="Calibri" w:hAnsi="Calibri" w:cs="Calibri"/>
                <w:b/>
                <w:bCs/>
                <w:color w:val="3B6D11"/>
                <w:sz w:val="18"/>
                <w:szCs w:val="18"/>
              </w:rPr>
              <w:t xml:space="preserve">ODR PORTAL  </w:t>
            </w:r>
            <w:r>
              <w:rPr>
                <w:rFonts w:ascii="Calibri" w:eastAsia="Calibri" w:hAnsi="Calibri" w:cs="Calibri"/>
                <w:b/>
                <w:bCs/>
                <w:color w:val="0C2340"/>
              </w:rPr>
              <w:t>Online Dispute Resolution</w:t>
            </w:r>
          </w:p>
          <w:p w14:paraId="3619E13C" w14:textId="77777777" w:rsidR="0018778E" w:rsidRDefault="00000000">
            <w:r>
              <w:rPr>
                <w:rFonts w:ascii="Calibri" w:eastAsia="Calibri" w:hAnsi="Calibri" w:cs="Calibri"/>
                <w:color w:val="333333"/>
                <w:sz w:val="19"/>
                <w:szCs w:val="19"/>
              </w:rPr>
              <w:t>If the grievance remains unresolved after all escalation steps, investors may initiate dispute resolution through SEBI's Online Dispute Resolution Portal at smartodr.in. This facility is available at any stage of escalation once the portfolio manager's response is unsatisfactory, provided the matter is not pending before any court, tribunal, arbitral process, or consumer forum, and is not non-arbitrable under Indian law.</w:t>
            </w:r>
          </w:p>
        </w:tc>
      </w:tr>
    </w:tbl>
    <w:p w14:paraId="216AA58C" w14:textId="77777777" w:rsidR="0018778E" w:rsidRDefault="00000000">
      <w:pPr>
        <w:pBdr>
          <w:top w:val="single" w:sz="4" w:space="1" w:color="DDDDDD"/>
        </w:pBdr>
        <w:spacing w:before="300"/>
      </w:pPr>
      <w:r>
        <w:rPr>
          <w:rFonts w:ascii="Calibri" w:eastAsia="Calibri" w:hAnsi="Calibri" w:cs="Calibri"/>
          <w:color w:val="666666"/>
          <w:sz w:val="16"/>
          <w:szCs w:val="16"/>
        </w:rPr>
        <w:t>SEBI SCORES 2.0: scores.sebi.gov.in  ·  SEBI ODR Portal (</w:t>
      </w:r>
      <w:proofErr w:type="spellStart"/>
      <w:r>
        <w:rPr>
          <w:rFonts w:ascii="Calibri" w:eastAsia="Calibri" w:hAnsi="Calibri" w:cs="Calibri"/>
          <w:color w:val="666666"/>
          <w:sz w:val="16"/>
          <w:szCs w:val="16"/>
        </w:rPr>
        <w:t>SmartODR</w:t>
      </w:r>
      <w:proofErr w:type="spellEnd"/>
      <w:r>
        <w:rPr>
          <w:rFonts w:ascii="Calibri" w:eastAsia="Calibri" w:hAnsi="Calibri" w:cs="Calibri"/>
          <w:color w:val="666666"/>
          <w:sz w:val="16"/>
          <w:szCs w:val="16"/>
        </w:rPr>
        <w:t xml:space="preserve">): smartodr.in  ·  Guardian Capital Investment Advisors </w:t>
      </w:r>
      <w:proofErr w:type="spellStart"/>
      <w:r>
        <w:rPr>
          <w:rFonts w:ascii="Calibri" w:eastAsia="Calibri" w:hAnsi="Calibri" w:cs="Calibri"/>
          <w:color w:val="666666"/>
          <w:sz w:val="16"/>
          <w:szCs w:val="16"/>
        </w:rPr>
        <w:t>Pvt.</w:t>
      </w:r>
      <w:proofErr w:type="spellEnd"/>
      <w:r>
        <w:rPr>
          <w:rFonts w:ascii="Calibri" w:eastAsia="Calibri" w:hAnsi="Calibri" w:cs="Calibri"/>
          <w:color w:val="666666"/>
          <w:sz w:val="16"/>
          <w:szCs w:val="16"/>
        </w:rPr>
        <w:t xml:space="preserve"> Ltd.  ·  SEBI IA Registration No. INA200005380</w:t>
      </w:r>
    </w:p>
    <w:sectPr w:rsidR="0018778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3FB63" w14:textId="77777777" w:rsidR="005D0CB0" w:rsidRDefault="005D0CB0" w:rsidP="003E0188">
      <w:r>
        <w:separator/>
      </w:r>
    </w:p>
  </w:endnote>
  <w:endnote w:type="continuationSeparator" w:id="0">
    <w:p w14:paraId="75E5018E" w14:textId="77777777" w:rsidR="005D0CB0" w:rsidRDefault="005D0CB0" w:rsidP="003E0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9881F" w14:textId="77777777" w:rsidR="003E0188" w:rsidRDefault="003E01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0A73D" w14:textId="77777777" w:rsidR="003E0188" w:rsidRDefault="003E01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4E21" w14:textId="77777777" w:rsidR="003E0188" w:rsidRDefault="003E0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2FB8D" w14:textId="77777777" w:rsidR="005D0CB0" w:rsidRDefault="005D0CB0" w:rsidP="003E0188">
      <w:r>
        <w:separator/>
      </w:r>
    </w:p>
  </w:footnote>
  <w:footnote w:type="continuationSeparator" w:id="0">
    <w:p w14:paraId="13EC9DDE" w14:textId="77777777" w:rsidR="005D0CB0" w:rsidRDefault="005D0CB0" w:rsidP="003E0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B8080" w14:textId="77777777" w:rsidR="003E0188" w:rsidRDefault="003E01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E3D0" w14:textId="3BCD6E16" w:rsidR="003E0188" w:rsidRDefault="003E0188" w:rsidP="003E0188">
    <w:pPr>
      <w:pStyle w:val="Header"/>
      <w:jc w:val="center"/>
    </w:pPr>
    <w:r>
      <w:rPr>
        <w:noProof/>
      </w:rPr>
      <w:drawing>
        <wp:inline distT="0" distB="0" distL="0" distR="0" wp14:anchorId="22401A20" wp14:editId="5FFACE89">
          <wp:extent cx="1000125" cy="928855"/>
          <wp:effectExtent l="0" t="0" r="0" b="5080"/>
          <wp:docPr id="7046709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1460" cy="9765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404C9" w14:textId="77777777" w:rsidR="003E0188" w:rsidRDefault="003E01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A24D7"/>
    <w:multiLevelType w:val="hybridMultilevel"/>
    <w:tmpl w:val="2E468E8C"/>
    <w:lvl w:ilvl="0" w:tplc="0A721056">
      <w:start w:val="1"/>
      <w:numFmt w:val="bullet"/>
      <w:lvlText w:val="•"/>
      <w:lvlJc w:val="left"/>
      <w:pPr>
        <w:ind w:left="540" w:hanging="270"/>
      </w:pPr>
    </w:lvl>
    <w:lvl w:ilvl="1" w:tplc="30D60DA6">
      <w:numFmt w:val="decimal"/>
      <w:lvlText w:val=""/>
      <w:lvlJc w:val="left"/>
    </w:lvl>
    <w:lvl w:ilvl="2" w:tplc="D708F3FC">
      <w:numFmt w:val="decimal"/>
      <w:lvlText w:val=""/>
      <w:lvlJc w:val="left"/>
    </w:lvl>
    <w:lvl w:ilvl="3" w:tplc="A242488E">
      <w:numFmt w:val="decimal"/>
      <w:lvlText w:val=""/>
      <w:lvlJc w:val="left"/>
    </w:lvl>
    <w:lvl w:ilvl="4" w:tplc="D5CEDCF6">
      <w:numFmt w:val="decimal"/>
      <w:lvlText w:val=""/>
      <w:lvlJc w:val="left"/>
    </w:lvl>
    <w:lvl w:ilvl="5" w:tplc="73B2FA2E">
      <w:numFmt w:val="decimal"/>
      <w:lvlText w:val=""/>
      <w:lvlJc w:val="left"/>
    </w:lvl>
    <w:lvl w:ilvl="6" w:tplc="59E2C848">
      <w:numFmt w:val="decimal"/>
      <w:lvlText w:val=""/>
      <w:lvlJc w:val="left"/>
    </w:lvl>
    <w:lvl w:ilvl="7" w:tplc="067E7634">
      <w:numFmt w:val="decimal"/>
      <w:lvlText w:val=""/>
      <w:lvlJc w:val="left"/>
    </w:lvl>
    <w:lvl w:ilvl="8" w:tplc="1452F638">
      <w:numFmt w:val="decimal"/>
      <w:lvlText w:val=""/>
      <w:lvlJc w:val="left"/>
    </w:lvl>
  </w:abstractNum>
  <w:abstractNum w:abstractNumId="1" w15:restartNumberingAfterBreak="0">
    <w:nsid w:val="4D573E38"/>
    <w:multiLevelType w:val="hybridMultilevel"/>
    <w:tmpl w:val="491042AA"/>
    <w:lvl w:ilvl="0" w:tplc="0588722A">
      <w:start w:val="1"/>
      <w:numFmt w:val="bullet"/>
      <w:lvlText w:val="●"/>
      <w:lvlJc w:val="left"/>
      <w:pPr>
        <w:ind w:left="720" w:hanging="360"/>
      </w:pPr>
    </w:lvl>
    <w:lvl w:ilvl="1" w:tplc="16D2F3BA">
      <w:start w:val="1"/>
      <w:numFmt w:val="bullet"/>
      <w:lvlText w:val="○"/>
      <w:lvlJc w:val="left"/>
      <w:pPr>
        <w:ind w:left="1440" w:hanging="360"/>
      </w:pPr>
    </w:lvl>
    <w:lvl w:ilvl="2" w:tplc="B3D0E294">
      <w:start w:val="1"/>
      <w:numFmt w:val="bullet"/>
      <w:lvlText w:val="■"/>
      <w:lvlJc w:val="left"/>
      <w:pPr>
        <w:ind w:left="2160" w:hanging="360"/>
      </w:pPr>
    </w:lvl>
    <w:lvl w:ilvl="3" w:tplc="03A05656">
      <w:start w:val="1"/>
      <w:numFmt w:val="bullet"/>
      <w:lvlText w:val="●"/>
      <w:lvlJc w:val="left"/>
      <w:pPr>
        <w:ind w:left="2880" w:hanging="360"/>
      </w:pPr>
    </w:lvl>
    <w:lvl w:ilvl="4" w:tplc="9B02461C">
      <w:start w:val="1"/>
      <w:numFmt w:val="bullet"/>
      <w:lvlText w:val="○"/>
      <w:lvlJc w:val="left"/>
      <w:pPr>
        <w:ind w:left="3600" w:hanging="360"/>
      </w:pPr>
    </w:lvl>
    <w:lvl w:ilvl="5" w:tplc="F2622740">
      <w:start w:val="1"/>
      <w:numFmt w:val="bullet"/>
      <w:lvlText w:val="■"/>
      <w:lvlJc w:val="left"/>
      <w:pPr>
        <w:ind w:left="4320" w:hanging="360"/>
      </w:pPr>
    </w:lvl>
    <w:lvl w:ilvl="6" w:tplc="1FA69AA2">
      <w:start w:val="1"/>
      <w:numFmt w:val="bullet"/>
      <w:lvlText w:val="●"/>
      <w:lvlJc w:val="left"/>
      <w:pPr>
        <w:ind w:left="5040" w:hanging="360"/>
      </w:pPr>
    </w:lvl>
    <w:lvl w:ilvl="7" w:tplc="C6543C10">
      <w:start w:val="1"/>
      <w:numFmt w:val="bullet"/>
      <w:lvlText w:val="●"/>
      <w:lvlJc w:val="left"/>
      <w:pPr>
        <w:ind w:left="5760" w:hanging="360"/>
      </w:pPr>
    </w:lvl>
    <w:lvl w:ilvl="8" w:tplc="9B409488">
      <w:start w:val="1"/>
      <w:numFmt w:val="bullet"/>
      <w:lvlText w:val="●"/>
      <w:lvlJc w:val="left"/>
      <w:pPr>
        <w:ind w:left="6480" w:hanging="360"/>
      </w:pPr>
    </w:lvl>
  </w:abstractNum>
  <w:num w:numId="1" w16cid:durableId="42872779">
    <w:abstractNumId w:val="1"/>
    <w:lvlOverride w:ilvl="0">
      <w:startOverride w:val="1"/>
    </w:lvlOverride>
  </w:num>
  <w:num w:numId="2" w16cid:durableId="13484843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78E"/>
    <w:rsid w:val="00054235"/>
    <w:rsid w:val="0018778E"/>
    <w:rsid w:val="002C18D1"/>
    <w:rsid w:val="003E0188"/>
    <w:rsid w:val="005D0CB0"/>
    <w:rsid w:val="005D78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580338FB"/>
  <w15:docId w15:val="{865633F0-1CFD-6B40-B869-DB53E3D62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3E0188"/>
    <w:pPr>
      <w:tabs>
        <w:tab w:val="center" w:pos="4513"/>
        <w:tab w:val="right" w:pos="9026"/>
      </w:tabs>
    </w:pPr>
  </w:style>
  <w:style w:type="character" w:customStyle="1" w:styleId="HeaderChar">
    <w:name w:val="Header Char"/>
    <w:basedOn w:val="DefaultParagraphFont"/>
    <w:link w:val="Header"/>
    <w:uiPriority w:val="99"/>
    <w:rsid w:val="003E0188"/>
  </w:style>
  <w:style w:type="paragraph" w:styleId="Footer">
    <w:name w:val="footer"/>
    <w:basedOn w:val="Normal"/>
    <w:link w:val="FooterChar"/>
    <w:uiPriority w:val="99"/>
    <w:unhideWhenUsed/>
    <w:rsid w:val="003E0188"/>
    <w:pPr>
      <w:tabs>
        <w:tab w:val="center" w:pos="4513"/>
        <w:tab w:val="right" w:pos="9026"/>
      </w:tabs>
    </w:pPr>
  </w:style>
  <w:style w:type="character" w:customStyle="1" w:styleId="FooterChar">
    <w:name w:val="Footer Char"/>
    <w:basedOn w:val="DefaultParagraphFont"/>
    <w:link w:val="Footer"/>
    <w:uiPriority w:val="99"/>
    <w:rsid w:val="003E0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468</Words>
  <Characters>2672</Characters>
  <Application>Microsoft Office Word</Application>
  <DocSecurity>0</DocSecurity>
  <Lines>22</Lines>
  <Paragraphs>6</Paragraphs>
  <ScaleCrop>false</ScaleCrop>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Guardian Company</cp:lastModifiedBy>
  <cp:revision>3</cp:revision>
  <dcterms:created xsi:type="dcterms:W3CDTF">2026-04-08T10:09:00Z</dcterms:created>
  <dcterms:modified xsi:type="dcterms:W3CDTF">2026-04-09T07:16:00Z</dcterms:modified>
</cp:coreProperties>
</file>